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BFEA" w14:textId="77777777" w:rsidR="00D573BB" w:rsidRDefault="009B7F6D">
      <w:pPr>
        <w:spacing w:after="0"/>
        <w:ind w:left="-1"/>
        <w:jc w:val="right"/>
      </w:pPr>
      <w:r>
        <w:rPr>
          <w:noProof/>
        </w:rPr>
        <w:drawing>
          <wp:inline distT="0" distB="0" distL="0" distR="0" wp14:anchorId="66825C55" wp14:editId="321D0438">
            <wp:extent cx="1590294" cy="983615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294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104F75"/>
          <w:sz w:val="36"/>
        </w:rPr>
        <w:t xml:space="preserve">  Catch Up Funding Strategy Statement 20-21</w:t>
      </w:r>
    </w:p>
    <w:p w14:paraId="246158A3" w14:textId="77777777" w:rsidR="00D573BB" w:rsidRDefault="009B7F6D">
      <w:pPr>
        <w:spacing w:after="330"/>
      </w:pPr>
      <w:r>
        <w:rPr>
          <w:rFonts w:ascii="Arial" w:eastAsia="Arial" w:hAnsi="Arial" w:cs="Arial"/>
          <w:b/>
          <w:color w:val="104F75"/>
          <w:sz w:val="36"/>
        </w:rPr>
        <w:t xml:space="preserve"> </w:t>
      </w:r>
      <w:r>
        <w:rPr>
          <w:rFonts w:ascii="Arial" w:eastAsia="Arial" w:hAnsi="Arial" w:cs="Arial"/>
          <w:b/>
          <w:color w:val="104F75"/>
          <w:sz w:val="36"/>
        </w:rPr>
        <w:tab/>
        <w:t xml:space="preserve"> </w:t>
      </w:r>
    </w:p>
    <w:p w14:paraId="45923CF5" w14:textId="77777777" w:rsidR="00D573BB" w:rsidRDefault="009B7F6D">
      <w:pPr>
        <w:spacing w:after="0"/>
        <w:ind w:left="-5" w:hanging="10"/>
      </w:pPr>
      <w:r>
        <w:rPr>
          <w:rFonts w:ascii="Arial" w:eastAsia="Arial" w:hAnsi="Arial" w:cs="Arial"/>
          <w:b/>
          <w:color w:val="104F75"/>
        </w:rPr>
        <w:t xml:space="preserve">School overview </w:t>
      </w:r>
    </w:p>
    <w:tbl>
      <w:tblPr>
        <w:tblStyle w:val="TableGrid"/>
        <w:tblW w:w="9499" w:type="dxa"/>
        <w:tblInd w:w="5" w:type="dxa"/>
        <w:tblCellMar>
          <w:top w:w="76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4817"/>
        <w:gridCol w:w="4682"/>
      </w:tblGrid>
      <w:tr w:rsidR="00D573BB" w14:paraId="377CA132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95162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Metric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F3CFEE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Data </w:t>
            </w:r>
          </w:p>
        </w:tc>
      </w:tr>
      <w:tr w:rsidR="00D573BB" w14:paraId="3E578C4A" w14:textId="77777777">
        <w:trPr>
          <w:trHeight w:val="391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40DCCC" w14:textId="77777777" w:rsidR="00D573BB" w:rsidRDefault="009B7F6D">
            <w:r>
              <w:rPr>
                <w:rFonts w:ascii="Arial" w:eastAsia="Arial" w:hAnsi="Arial" w:cs="Arial"/>
                <w:color w:val="0D0D0D"/>
              </w:rPr>
              <w:t xml:space="preserve"> School name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34B96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 xml:space="preserve">Beckfoot </w:t>
            </w:r>
            <w:proofErr w:type="spellStart"/>
            <w:r>
              <w:rPr>
                <w:rFonts w:ascii="Arial" w:eastAsia="Arial" w:hAnsi="Arial" w:cs="Arial"/>
              </w:rPr>
              <w:t>Nessfield</w:t>
            </w:r>
            <w:proofErr w:type="spellEnd"/>
            <w:r>
              <w:rPr>
                <w:rFonts w:ascii="Arial" w:eastAsia="Arial" w:hAnsi="Arial" w:cs="Arial"/>
              </w:rPr>
              <w:t xml:space="preserve"> Primary School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D573BB" w14:paraId="2E071134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DC1B5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Pupils in school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ED19E5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353 </w:t>
            </w:r>
          </w:p>
        </w:tc>
      </w:tr>
      <w:tr w:rsidR="00D573BB" w14:paraId="7F9FED06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2BB568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Proportion of disadvantaged pupils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DB357F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19% (68 </w:t>
            </w:r>
            <w:proofErr w:type="spellStart"/>
            <w:r>
              <w:rPr>
                <w:rFonts w:ascii="Arial" w:eastAsia="Arial" w:hAnsi="Arial" w:cs="Arial"/>
                <w:color w:val="0D0D0D"/>
              </w:rPr>
              <w:t>chn</w:t>
            </w:r>
            <w:proofErr w:type="spellEnd"/>
            <w:r>
              <w:rPr>
                <w:rFonts w:ascii="Arial" w:eastAsia="Arial" w:hAnsi="Arial" w:cs="Arial"/>
                <w:color w:val="0D0D0D"/>
              </w:rPr>
              <w:t xml:space="preserve">) </w:t>
            </w:r>
          </w:p>
        </w:tc>
      </w:tr>
      <w:tr w:rsidR="00D573BB" w14:paraId="3513683C" w14:textId="77777777">
        <w:trPr>
          <w:trHeight w:val="395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54FF9C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Catch up allocation 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EC40A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£27,520 </w:t>
            </w:r>
          </w:p>
        </w:tc>
      </w:tr>
      <w:tr w:rsidR="00D573BB" w14:paraId="05A8D231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928CE7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Academic year or years covered by statement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346238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2020-21 </w:t>
            </w:r>
          </w:p>
        </w:tc>
      </w:tr>
      <w:tr w:rsidR="00D573BB" w14:paraId="36421C4C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945F18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Publish date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10E586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01.10.2020 </w:t>
            </w:r>
          </w:p>
        </w:tc>
      </w:tr>
      <w:tr w:rsidR="00D573BB" w14:paraId="36E5487B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44688D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Review date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6BB400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01.10.2021 </w:t>
            </w:r>
          </w:p>
        </w:tc>
      </w:tr>
      <w:tr w:rsidR="00D573BB" w14:paraId="6180E597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1A606A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Statement authorised by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F19228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Linda Hanson </w:t>
            </w:r>
          </w:p>
        </w:tc>
      </w:tr>
      <w:tr w:rsidR="00D573BB" w14:paraId="04AA582E" w14:textId="77777777">
        <w:trPr>
          <w:trHeight w:val="395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F4C2A0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Catch up funding lead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DB35C3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Linda Hanson </w:t>
            </w:r>
          </w:p>
        </w:tc>
      </w:tr>
      <w:tr w:rsidR="00D573BB" w14:paraId="652D9A2A" w14:textId="77777777">
        <w:trPr>
          <w:trHeight w:val="390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058420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AA87EE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</w:tc>
      </w:tr>
    </w:tbl>
    <w:p w14:paraId="21801BE5" w14:textId="77777777" w:rsidR="00D573BB" w:rsidRDefault="009B7F6D">
      <w:pPr>
        <w:spacing w:after="0"/>
        <w:ind w:left="-5" w:hanging="10"/>
      </w:pPr>
      <w:r>
        <w:rPr>
          <w:rFonts w:ascii="Arial" w:eastAsia="Arial" w:hAnsi="Arial" w:cs="Arial"/>
          <w:b/>
          <w:color w:val="104F75"/>
        </w:rPr>
        <w:t xml:space="preserve">Strategy aims for Catch Up  </w:t>
      </w:r>
    </w:p>
    <w:tbl>
      <w:tblPr>
        <w:tblStyle w:val="TableGrid"/>
        <w:tblW w:w="9499" w:type="dxa"/>
        <w:tblInd w:w="5" w:type="dxa"/>
        <w:tblCellMar>
          <w:top w:w="69" w:type="dxa"/>
          <w:left w:w="105" w:type="dxa"/>
          <w:right w:w="114" w:type="dxa"/>
        </w:tblCellMar>
        <w:tblLook w:val="04A0" w:firstRow="1" w:lastRow="0" w:firstColumn="1" w:lastColumn="0" w:noHBand="0" w:noVBand="1"/>
      </w:tblPr>
      <w:tblGrid>
        <w:gridCol w:w="3541"/>
        <w:gridCol w:w="1275"/>
        <w:gridCol w:w="4683"/>
      </w:tblGrid>
      <w:tr w:rsidR="00D573BB" w14:paraId="18684411" w14:textId="77777777">
        <w:trPr>
          <w:trHeight w:val="396"/>
        </w:trPr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AE37A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b/>
                <w:color w:val="0D0D0D"/>
              </w:rPr>
              <w:t>Measure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B59D80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b/>
                <w:color w:val="0D0D0D"/>
              </w:rPr>
              <w:t>2020 KS2 Targets: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D573BB" w14:paraId="3546A3B9" w14:textId="77777777">
        <w:trPr>
          <w:trHeight w:val="390"/>
        </w:trPr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810B9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color w:val="0D0D0D"/>
              </w:rPr>
              <w:t xml:space="preserve">Meeting expected standard at KS2 RWM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766D2A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color w:val="0D0D0D"/>
              </w:rPr>
              <w:t>57%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D573BB" w14:paraId="76BF32C9" w14:textId="77777777">
        <w:trPr>
          <w:trHeight w:val="410"/>
        </w:trPr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203C446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color w:val="0D0D0D"/>
              </w:rPr>
              <w:t xml:space="preserve">Achieving high standard at KS2 RWM </w:t>
            </w:r>
          </w:p>
        </w:tc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58DA9FE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9% </w:t>
            </w:r>
          </w:p>
        </w:tc>
      </w:tr>
      <w:tr w:rsidR="00D573BB" w14:paraId="4FF10285" w14:textId="77777777">
        <w:trPr>
          <w:trHeight w:val="395"/>
        </w:trPr>
        <w:tc>
          <w:tcPr>
            <w:tcW w:w="35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C4E18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b/>
                <w:color w:val="0D0D0D"/>
              </w:rPr>
              <w:t>Measure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1CB8FA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Activity </w:t>
            </w:r>
          </w:p>
        </w:tc>
      </w:tr>
      <w:tr w:rsidR="00D573BB" w14:paraId="1205AE16" w14:textId="77777777">
        <w:trPr>
          <w:trHeight w:val="1745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A8EE4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color w:val="0D0D0D"/>
              </w:rPr>
              <w:t>Priority 1: Reading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48B439" w14:textId="77777777" w:rsidR="00D573BB" w:rsidRDefault="009B7F6D">
            <w:pPr>
              <w:spacing w:line="244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  <w:color w:val="0D0D0D"/>
                <w:sz w:val="24"/>
              </w:rPr>
              <w:t>•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Ensure all children leave Phase 1 meeting national average for all pupils in phonics and reading: </w:t>
            </w:r>
          </w:p>
          <w:p w14:paraId="12C7CCAA" w14:textId="5B2F9AF3" w:rsidR="005E6DDC" w:rsidRDefault="009B7F6D" w:rsidP="005E6DDC">
            <w:pPr>
              <w:spacing w:after="46" w:line="237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additional teaching assistant hours in afternoon to deliver group and individual phonics intervention Phase 1 and </w:t>
            </w:r>
            <w:r w:rsidR="005E6DDC">
              <w:rPr>
                <w:rFonts w:ascii="Arial" w:eastAsia="Arial" w:hAnsi="Arial" w:cs="Arial"/>
              </w:rPr>
              <w:t>Y3.</w:t>
            </w:r>
          </w:p>
          <w:p w14:paraId="4C5833B8" w14:textId="29838FF4" w:rsidR="005E6DDC" w:rsidRDefault="005E6DDC" w:rsidP="005E6DDC">
            <w:pPr>
              <w:spacing w:after="46" w:line="237" w:lineRule="auto"/>
              <w:ind w:left="720"/>
              <w:rPr>
                <w:rFonts w:ascii="Arial" w:eastAsia="Arial" w:hAnsi="Arial" w:cs="Arial"/>
              </w:rPr>
            </w:pPr>
            <w:r w:rsidRPr="005E6DDC">
              <w:rPr>
                <w:rFonts w:ascii="Arial" w:eastAsia="Arial" w:hAnsi="Arial" w:cs="Arial"/>
              </w:rPr>
              <w:t>Purchase additional Collins Big Cat phonics reading books</w:t>
            </w:r>
            <w:r>
              <w:rPr>
                <w:rFonts w:ascii="Arial" w:eastAsia="Arial" w:hAnsi="Arial" w:cs="Arial"/>
              </w:rPr>
              <w:t>.</w:t>
            </w:r>
          </w:p>
          <w:p w14:paraId="37363A0A" w14:textId="5F3CEEAE" w:rsidR="005E6DDC" w:rsidRPr="005E6DDC" w:rsidRDefault="005E6DDC" w:rsidP="005E6DDC">
            <w:pPr>
              <w:spacing w:after="46" w:line="237" w:lineRule="auto"/>
              <w:ind w:left="720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</w:rPr>
              <w:t xml:space="preserve">Supplement Phase budgets and The Nest (Wave 4) budget to purchase additional curriculum materials to support QFT/ interventions. </w:t>
            </w:r>
          </w:p>
          <w:p w14:paraId="7F6648D9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</w:tc>
      </w:tr>
      <w:tr w:rsidR="00D573BB" w14:paraId="19092245" w14:textId="77777777">
        <w:trPr>
          <w:trHeight w:val="1551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F44234" w14:textId="77777777" w:rsidR="00D573BB" w:rsidRDefault="009B7F6D">
            <w:pPr>
              <w:ind w:left="60" w:right="32"/>
            </w:pPr>
            <w:r>
              <w:rPr>
                <w:rFonts w:ascii="Arial" w:eastAsia="Arial" w:hAnsi="Arial" w:cs="Arial"/>
                <w:color w:val="0D0D0D"/>
              </w:rPr>
              <w:t xml:space="preserve">Priority 2: Improve IT provision to support and enhance teaching and learning across school and deliver targeted interventions for key children </w:t>
            </w:r>
          </w:p>
        </w:tc>
        <w:tc>
          <w:tcPr>
            <w:tcW w:w="5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CB847" w14:textId="77777777" w:rsidR="00D573BB" w:rsidRDefault="009B7F6D">
            <w:pPr>
              <w:spacing w:after="35" w:line="243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  <w:color w:val="0D0D0D"/>
                <w:sz w:val="24"/>
              </w:rPr>
              <w:t>•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</w:rPr>
              <w:t xml:space="preserve">Purchase 48 </w:t>
            </w:r>
            <w:proofErr w:type="spellStart"/>
            <w:r>
              <w:rPr>
                <w:rFonts w:ascii="Arial" w:eastAsia="Arial" w:hAnsi="Arial" w:cs="Arial"/>
                <w:color w:val="0D0D0D"/>
              </w:rPr>
              <w:t>Ipads</w:t>
            </w:r>
            <w:proofErr w:type="spellEnd"/>
            <w:r>
              <w:rPr>
                <w:rFonts w:ascii="Arial" w:eastAsia="Arial" w:hAnsi="Arial" w:cs="Arial"/>
                <w:color w:val="0D0D0D"/>
              </w:rPr>
              <w:t xml:space="preserve"> to be based across school in classes for teachers to deliver targeted interventions and enhance/ support QFT.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46567181" w14:textId="77777777" w:rsidR="00D573BB" w:rsidRDefault="009B7F6D">
            <w:pPr>
              <w:spacing w:after="42"/>
            </w:pPr>
            <w:r>
              <w:rPr>
                <w:rFonts w:ascii="Arial" w:eastAsia="Arial" w:hAnsi="Arial" w:cs="Arial"/>
                <w:color w:val="0D0D0D"/>
              </w:rPr>
              <w:t xml:space="preserve">£300 per </w:t>
            </w:r>
            <w:proofErr w:type="spellStart"/>
            <w:r>
              <w:rPr>
                <w:rFonts w:ascii="Arial" w:eastAsia="Arial" w:hAnsi="Arial" w:cs="Arial"/>
                <w:color w:val="0D0D0D"/>
              </w:rPr>
              <w:t>IPad</w:t>
            </w:r>
            <w:proofErr w:type="spellEnd"/>
            <w:r>
              <w:rPr>
                <w:rFonts w:ascii="Arial" w:eastAsia="Arial" w:hAnsi="Arial" w:cs="Arial"/>
                <w:color w:val="0D0D0D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</w:rPr>
              <w:t>inc</w:t>
            </w:r>
            <w:proofErr w:type="spellEnd"/>
            <w:r>
              <w:rPr>
                <w:rFonts w:ascii="Arial" w:eastAsia="Arial" w:hAnsi="Arial" w:cs="Arial"/>
                <w:color w:val="0D0D0D"/>
              </w:rPr>
              <w:t xml:space="preserve"> tough case </w:t>
            </w:r>
          </w:p>
          <w:p w14:paraId="7D4D497C" w14:textId="77777777" w:rsidR="00D573BB" w:rsidRDefault="009B7F6D">
            <w:r>
              <w:rPr>
                <w:rFonts w:ascii="Arial" w:eastAsia="Arial" w:hAnsi="Arial" w:cs="Arial"/>
                <w:color w:val="0D0D0D"/>
              </w:rPr>
              <w:t xml:space="preserve">£500 Charging trolley/ box for 16 I Pads </w:t>
            </w:r>
          </w:p>
        </w:tc>
      </w:tr>
      <w:tr w:rsidR="00D573BB" w14:paraId="500F1854" w14:textId="77777777">
        <w:trPr>
          <w:trHeight w:val="17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746D3D" w14:textId="77777777" w:rsidR="00D573BB" w:rsidRDefault="009B7F6D">
            <w:pPr>
              <w:ind w:left="60" w:right="39"/>
            </w:pPr>
            <w:r>
              <w:rPr>
                <w:rFonts w:ascii="Arial" w:eastAsia="Arial" w:hAnsi="Arial" w:cs="Arial"/>
                <w:color w:val="0D0D0D"/>
              </w:rPr>
              <w:lastRenderedPageBreak/>
              <w:t xml:space="preserve">Priority 3: Ensure SEND children have the provision they need within QFT to maximise progress </w:t>
            </w:r>
          </w:p>
        </w:tc>
        <w:tc>
          <w:tcPr>
            <w:tcW w:w="5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8F6B2B" w14:textId="4E172F6C" w:rsidR="00D573BB" w:rsidRDefault="009B7F6D">
            <w:pPr>
              <w:ind w:left="55" w:right="117" w:firstLine="305"/>
            </w:pPr>
            <w:r>
              <w:rPr>
                <w:rFonts w:ascii="Segoe UI Symbol" w:eastAsia="Segoe UI Symbol" w:hAnsi="Segoe UI Symbol" w:cs="Segoe UI Symbol"/>
                <w:color w:val="0D0D0D"/>
              </w:rPr>
              <w:t>•</w:t>
            </w:r>
            <w:r>
              <w:rPr>
                <w:rFonts w:ascii="Arial" w:eastAsia="Arial" w:hAnsi="Arial" w:cs="Arial"/>
                <w:color w:val="0D0D0D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</w:rPr>
              <w:tab/>
              <w:t xml:space="preserve">SENCo to review all individual provision maps and teaching of SEN children to ensure all provision meets needs. Identified resources and any additional staff hours implemented to maximise progress. </w:t>
            </w:r>
          </w:p>
        </w:tc>
      </w:tr>
      <w:tr w:rsidR="00D573BB" w14:paraId="28C36EE9" w14:textId="77777777">
        <w:trPr>
          <w:trHeight w:val="636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2521D5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color w:val="0D0D0D"/>
              </w:rPr>
              <w:t xml:space="preserve">Barriers to learning these priorities address </w:t>
            </w:r>
          </w:p>
        </w:tc>
        <w:tc>
          <w:tcPr>
            <w:tcW w:w="5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8FE7FC" w14:textId="77777777" w:rsidR="00D573BB" w:rsidRDefault="009B7F6D">
            <w:r>
              <w:rPr>
                <w:rFonts w:ascii="Arial" w:eastAsia="Arial" w:hAnsi="Arial" w:cs="Arial"/>
              </w:rPr>
              <w:t>Gaps in children’s learning following C19 lockdown and lack of engagement in home learning.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D573BB" w14:paraId="6EAC683E" w14:textId="77777777">
        <w:trPr>
          <w:trHeight w:val="189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82BB9B" w14:textId="77777777" w:rsidR="00D573BB" w:rsidRDefault="009B7F6D">
            <w:pPr>
              <w:ind w:left="60"/>
            </w:pPr>
            <w:r>
              <w:rPr>
                <w:rFonts w:ascii="Arial" w:eastAsia="Arial" w:hAnsi="Arial" w:cs="Arial"/>
                <w:color w:val="0D0D0D"/>
              </w:rPr>
              <w:t xml:space="preserve">Projected spending  </w:t>
            </w:r>
          </w:p>
        </w:tc>
        <w:tc>
          <w:tcPr>
            <w:tcW w:w="5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6416C7" w14:textId="3F9D7376" w:rsidR="00D573BB" w:rsidRDefault="009B7F6D">
            <w:pPr>
              <w:spacing w:after="42" w:line="237" w:lineRule="auto"/>
              <w:ind w:left="55" w:right="46"/>
              <w:rPr>
                <w:rFonts w:ascii="Arial" w:eastAsia="Arial" w:hAnsi="Arial" w:cs="Arial"/>
                <w:color w:val="0D0D0D"/>
              </w:rPr>
            </w:pPr>
            <w:r w:rsidRPr="005E6DDC">
              <w:rPr>
                <w:rFonts w:ascii="Arial" w:eastAsia="Arial" w:hAnsi="Arial" w:cs="Arial"/>
                <w:color w:val="0D0D0D"/>
              </w:rPr>
              <w:t xml:space="preserve">2 x Phase 1 teaching assistants 5hrs a week for one year: £3200 </w:t>
            </w:r>
          </w:p>
          <w:p w14:paraId="16633F13" w14:textId="77777777" w:rsidR="005E6DDC" w:rsidRPr="005E6DDC" w:rsidRDefault="005E6DDC">
            <w:pPr>
              <w:spacing w:after="42" w:line="237" w:lineRule="auto"/>
              <w:ind w:left="55" w:right="46"/>
              <w:rPr>
                <w:rFonts w:ascii="Arial" w:eastAsia="Arial" w:hAnsi="Arial" w:cs="Arial"/>
                <w:color w:val="0D0D0D"/>
              </w:rPr>
            </w:pPr>
          </w:p>
          <w:p w14:paraId="0978470F" w14:textId="78778122" w:rsidR="005E6DDC" w:rsidRDefault="005E6DDC">
            <w:pPr>
              <w:spacing w:after="42" w:line="237" w:lineRule="auto"/>
              <w:ind w:left="55" w:right="46"/>
              <w:rPr>
                <w:rFonts w:ascii="Arial" w:hAnsi="Arial" w:cs="Arial"/>
                <w:color w:val="0D0D0D"/>
              </w:rPr>
            </w:pPr>
            <w:r w:rsidRPr="005E6DDC">
              <w:rPr>
                <w:rFonts w:ascii="Arial" w:hAnsi="Arial" w:cs="Arial"/>
                <w:color w:val="0D0D0D"/>
              </w:rPr>
              <w:t>Additional Collins Big Cat Phonics reading books: £343</w:t>
            </w:r>
          </w:p>
          <w:p w14:paraId="1BA1EF43" w14:textId="77777777" w:rsidR="005E6DDC" w:rsidRDefault="005E6DDC">
            <w:pPr>
              <w:spacing w:after="42" w:line="237" w:lineRule="auto"/>
              <w:ind w:left="55" w:right="46"/>
              <w:rPr>
                <w:rFonts w:ascii="Arial" w:hAnsi="Arial" w:cs="Arial"/>
                <w:color w:val="0D0D0D"/>
              </w:rPr>
            </w:pPr>
          </w:p>
          <w:p w14:paraId="30B29BA6" w14:textId="2E64A533" w:rsidR="005E6DDC" w:rsidRDefault="005E6DDC">
            <w:pPr>
              <w:spacing w:after="42" w:line="237" w:lineRule="auto"/>
              <w:ind w:left="55" w:right="46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Additional Phase and The Nest (Wave 4) teaching and learning budgets: 4 x £1,000 = £4000</w:t>
            </w:r>
          </w:p>
          <w:p w14:paraId="6622506B" w14:textId="77777777" w:rsidR="005E6DDC" w:rsidRPr="005E6DDC" w:rsidRDefault="005E6DDC">
            <w:pPr>
              <w:spacing w:after="42" w:line="237" w:lineRule="auto"/>
              <w:ind w:left="55" w:right="46"/>
              <w:rPr>
                <w:rFonts w:ascii="Arial" w:hAnsi="Arial" w:cs="Arial"/>
              </w:rPr>
            </w:pPr>
          </w:p>
          <w:p w14:paraId="10CAB8AC" w14:textId="77777777" w:rsidR="00D573BB" w:rsidRPr="005E6DDC" w:rsidRDefault="009B7F6D">
            <w:pPr>
              <w:spacing w:after="42"/>
              <w:ind w:left="55"/>
            </w:pPr>
            <w:r w:rsidRPr="005E6DDC">
              <w:rPr>
                <w:rFonts w:ascii="Arial" w:eastAsia="Arial" w:hAnsi="Arial" w:cs="Arial"/>
                <w:color w:val="0D0D0D"/>
              </w:rPr>
              <w:t xml:space="preserve">48 </w:t>
            </w:r>
            <w:proofErr w:type="spellStart"/>
            <w:r w:rsidRPr="005E6DDC">
              <w:rPr>
                <w:rFonts w:ascii="Arial" w:eastAsia="Arial" w:hAnsi="Arial" w:cs="Arial"/>
                <w:color w:val="0D0D0D"/>
              </w:rPr>
              <w:t>Ipads</w:t>
            </w:r>
            <w:proofErr w:type="spellEnd"/>
            <w:r w:rsidRPr="005E6DDC">
              <w:rPr>
                <w:rFonts w:ascii="Arial" w:eastAsia="Arial" w:hAnsi="Arial" w:cs="Arial"/>
                <w:color w:val="0D0D0D"/>
              </w:rPr>
              <w:t xml:space="preserve">, cases and 3 charging boxes/ trollies: £15,900 </w:t>
            </w:r>
          </w:p>
          <w:p w14:paraId="4F4C5A3A" w14:textId="1B8B67BB" w:rsidR="00D573BB" w:rsidRPr="005E6DDC" w:rsidRDefault="00D573BB">
            <w:pPr>
              <w:spacing w:after="37"/>
              <w:ind w:left="55"/>
            </w:pPr>
          </w:p>
          <w:p w14:paraId="3F2E4F7E" w14:textId="0592DCB8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  <w:u w:val="single" w:color="0D0D0D"/>
              </w:rPr>
              <w:t>Total: £</w:t>
            </w:r>
            <w:r w:rsidR="005E6DDC">
              <w:rPr>
                <w:rFonts w:ascii="Arial" w:eastAsia="Arial" w:hAnsi="Arial" w:cs="Arial"/>
                <w:color w:val="0D0D0D"/>
                <w:u w:val="single" w:color="0D0D0D"/>
              </w:rPr>
              <w:t>23,443</w:t>
            </w: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</w:tc>
      </w:tr>
    </w:tbl>
    <w:p w14:paraId="24EEDDE4" w14:textId="77777777" w:rsidR="005E6DDC" w:rsidRDefault="005E6DDC">
      <w:pPr>
        <w:spacing w:after="0"/>
        <w:ind w:left="-5" w:hanging="10"/>
        <w:rPr>
          <w:rFonts w:ascii="Arial" w:eastAsia="Arial" w:hAnsi="Arial" w:cs="Arial"/>
          <w:b/>
          <w:color w:val="104F75"/>
        </w:rPr>
      </w:pPr>
    </w:p>
    <w:p w14:paraId="310EB03A" w14:textId="77777777" w:rsidR="005E6DDC" w:rsidRDefault="005E6DDC">
      <w:pPr>
        <w:spacing w:after="0"/>
        <w:ind w:left="-5" w:hanging="10"/>
        <w:rPr>
          <w:rFonts w:ascii="Arial" w:eastAsia="Arial" w:hAnsi="Arial" w:cs="Arial"/>
          <w:b/>
          <w:color w:val="104F75"/>
        </w:rPr>
      </w:pPr>
    </w:p>
    <w:p w14:paraId="6727F9B3" w14:textId="7AC34A84" w:rsidR="00D573BB" w:rsidRDefault="009B7F6D">
      <w:pPr>
        <w:spacing w:after="0"/>
        <w:ind w:left="-5" w:hanging="10"/>
      </w:pPr>
      <w:r>
        <w:rPr>
          <w:rFonts w:ascii="Arial" w:eastAsia="Arial" w:hAnsi="Arial" w:cs="Arial"/>
          <w:b/>
          <w:color w:val="104F75"/>
        </w:rPr>
        <w:t xml:space="preserve">Teaching priorities for current academic year </w:t>
      </w:r>
    </w:p>
    <w:tbl>
      <w:tblPr>
        <w:tblStyle w:val="TableGrid"/>
        <w:tblW w:w="9489" w:type="dxa"/>
        <w:tblInd w:w="5" w:type="dxa"/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4537"/>
        <w:gridCol w:w="2121"/>
      </w:tblGrid>
      <w:tr w:rsidR="00D573BB" w14:paraId="7947C181" w14:textId="77777777">
        <w:trPr>
          <w:trHeight w:val="395"/>
        </w:trPr>
        <w:tc>
          <w:tcPr>
            <w:tcW w:w="2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A32684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Aim </w:t>
            </w:r>
          </w:p>
        </w:tc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094B4E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Target </w:t>
            </w: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AAF66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Target date  </w:t>
            </w:r>
          </w:p>
        </w:tc>
      </w:tr>
      <w:tr w:rsidR="00D573BB" w14:paraId="1D70624C" w14:textId="77777777">
        <w:trPr>
          <w:trHeight w:val="635"/>
        </w:trPr>
        <w:tc>
          <w:tcPr>
            <w:tcW w:w="2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D76FF8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>Progress in Reading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F4B8A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 xml:space="preserve">Achieve national average progress scores in KS2 reading (0) </w:t>
            </w: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31F427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 xml:space="preserve">Sept 2021 </w:t>
            </w:r>
          </w:p>
        </w:tc>
      </w:tr>
      <w:tr w:rsidR="00D573BB" w14:paraId="0BF22CB8" w14:textId="77777777">
        <w:trPr>
          <w:trHeight w:val="635"/>
        </w:trPr>
        <w:tc>
          <w:tcPr>
            <w:tcW w:w="2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77C730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Progress in Writing </w:t>
            </w:r>
          </w:p>
        </w:tc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216483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>Achieve national average progress scores in KS2 writing (0)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9DAF8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>Sept 2021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D573BB" w14:paraId="42DE0582" w14:textId="77777777">
        <w:trPr>
          <w:trHeight w:val="635"/>
        </w:trPr>
        <w:tc>
          <w:tcPr>
            <w:tcW w:w="2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AA5367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>Progress in Mathematics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4E77F9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>Achieve national average progress scores in KS2 maths (0).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5D7854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>Sept 2021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D573BB" w14:paraId="2193B157" w14:textId="77777777">
        <w:trPr>
          <w:trHeight w:val="1035"/>
        </w:trPr>
        <w:tc>
          <w:tcPr>
            <w:tcW w:w="2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621A5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>Phonics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5937A" w14:textId="77777777" w:rsidR="00D573BB" w:rsidRDefault="009B7F6D">
            <w:pPr>
              <w:spacing w:after="39"/>
            </w:pPr>
            <w:r>
              <w:rPr>
                <w:rFonts w:ascii="Arial" w:eastAsia="Arial" w:hAnsi="Arial" w:cs="Arial"/>
              </w:rPr>
              <w:t xml:space="preserve">Year 2 phonics target 84%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44B795AC" w14:textId="77777777" w:rsidR="00D573BB" w:rsidRDefault="009B7F6D">
            <w:pPr>
              <w:spacing w:after="16"/>
            </w:pPr>
            <w:r>
              <w:rPr>
                <w:rFonts w:ascii="Arial" w:eastAsia="Arial" w:hAnsi="Arial" w:cs="Arial"/>
              </w:rPr>
              <w:t>Year 1 phonics target 72% (tbc)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51F5C5F8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896CE" w14:textId="77777777" w:rsidR="00D573BB" w:rsidRDefault="009B7F6D">
            <w:pPr>
              <w:spacing w:after="21"/>
              <w:ind w:left="55"/>
            </w:pPr>
            <w:r>
              <w:rPr>
                <w:rFonts w:ascii="Arial" w:eastAsia="Arial" w:hAnsi="Arial" w:cs="Arial"/>
              </w:rPr>
              <w:t>Dec 2020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307E4344" w14:textId="77777777" w:rsidR="00D573BB" w:rsidRDefault="009B7F6D">
            <w:pPr>
              <w:spacing w:after="60"/>
              <w:ind w:left="55"/>
            </w:pPr>
            <w:r>
              <w:rPr>
                <w:rFonts w:ascii="Arial" w:eastAsia="Arial" w:hAnsi="Arial" w:cs="Arial"/>
              </w:rPr>
              <w:t xml:space="preserve">June 2020 </w:t>
            </w:r>
          </w:p>
          <w:p w14:paraId="76E746CA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</w:tbl>
    <w:p w14:paraId="3A07171F" w14:textId="4D74103B" w:rsidR="00D573BB" w:rsidRDefault="009B7F6D">
      <w:pPr>
        <w:spacing w:after="507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 </w:t>
      </w:r>
    </w:p>
    <w:p w14:paraId="789F8ED5" w14:textId="1C3774B2" w:rsidR="005E6DDC" w:rsidRDefault="005E6DDC">
      <w:pPr>
        <w:spacing w:after="507"/>
        <w:rPr>
          <w:rFonts w:ascii="Arial" w:eastAsia="Arial" w:hAnsi="Arial" w:cs="Arial"/>
          <w:color w:val="0D0D0D"/>
        </w:rPr>
      </w:pPr>
    </w:p>
    <w:p w14:paraId="1684991F" w14:textId="77F30689" w:rsidR="005E6DDC" w:rsidRDefault="005E6DDC">
      <w:pPr>
        <w:spacing w:after="507"/>
        <w:rPr>
          <w:rFonts w:ascii="Arial" w:eastAsia="Arial" w:hAnsi="Arial" w:cs="Arial"/>
          <w:color w:val="0D0D0D"/>
        </w:rPr>
      </w:pPr>
    </w:p>
    <w:p w14:paraId="414EB286" w14:textId="0323A928" w:rsidR="005E6DDC" w:rsidRDefault="005E6DDC">
      <w:pPr>
        <w:spacing w:after="507"/>
        <w:rPr>
          <w:rFonts w:ascii="Arial" w:eastAsia="Arial" w:hAnsi="Arial" w:cs="Arial"/>
          <w:color w:val="0D0D0D"/>
        </w:rPr>
      </w:pPr>
    </w:p>
    <w:p w14:paraId="0A1D1B48" w14:textId="19AC5208" w:rsidR="005E6DDC" w:rsidRDefault="005E6DDC">
      <w:pPr>
        <w:spacing w:after="507"/>
        <w:rPr>
          <w:rFonts w:ascii="Arial" w:eastAsia="Arial" w:hAnsi="Arial" w:cs="Arial"/>
          <w:color w:val="0D0D0D"/>
        </w:rPr>
      </w:pPr>
    </w:p>
    <w:p w14:paraId="02D3C236" w14:textId="10CE3686" w:rsidR="005E6DDC" w:rsidRDefault="005E6DDC">
      <w:pPr>
        <w:spacing w:after="507"/>
        <w:rPr>
          <w:rFonts w:ascii="Arial" w:eastAsia="Arial" w:hAnsi="Arial" w:cs="Arial"/>
          <w:color w:val="0D0D0D"/>
        </w:rPr>
      </w:pPr>
    </w:p>
    <w:p w14:paraId="520E648C" w14:textId="77777777" w:rsidR="005E6DDC" w:rsidRDefault="005E6DDC">
      <w:pPr>
        <w:spacing w:after="507"/>
      </w:pPr>
    </w:p>
    <w:p w14:paraId="3D0EC2CC" w14:textId="77777777" w:rsidR="00D573BB" w:rsidRDefault="009B7F6D">
      <w:pPr>
        <w:spacing w:after="0"/>
        <w:ind w:left="-5" w:hanging="10"/>
      </w:pPr>
      <w:r>
        <w:rPr>
          <w:rFonts w:ascii="Arial" w:eastAsia="Arial" w:hAnsi="Arial" w:cs="Arial"/>
          <w:b/>
          <w:color w:val="104F75"/>
        </w:rPr>
        <w:lastRenderedPageBreak/>
        <w:t xml:space="preserve">Monitoring and Implementation </w:t>
      </w:r>
    </w:p>
    <w:tbl>
      <w:tblPr>
        <w:tblStyle w:val="TableGrid"/>
        <w:tblW w:w="9499" w:type="dxa"/>
        <w:tblInd w:w="5" w:type="dxa"/>
        <w:tblCellMar>
          <w:top w:w="72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980"/>
        <w:gridCol w:w="3687"/>
        <w:gridCol w:w="3832"/>
      </w:tblGrid>
      <w:tr w:rsidR="00D573BB" w14:paraId="2614EFE9" w14:textId="77777777">
        <w:trPr>
          <w:trHeight w:val="38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F156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Area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594C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Challenge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5F33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b/>
                <w:color w:val="0D0D0D"/>
              </w:rPr>
              <w:t xml:space="preserve">Mitigating action </w:t>
            </w:r>
          </w:p>
        </w:tc>
      </w:tr>
      <w:tr w:rsidR="00D573BB" w14:paraId="4B738B52" w14:textId="77777777">
        <w:trPr>
          <w:trHeight w:val="625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8E75" w14:textId="77777777" w:rsidR="00D573BB" w:rsidRDefault="009B7F6D">
            <w:r>
              <w:rPr>
                <w:rFonts w:ascii="Arial" w:eastAsia="Arial" w:hAnsi="Arial" w:cs="Arial"/>
                <w:color w:val="0D0D0D"/>
              </w:rPr>
              <w:t xml:space="preserve">Teaching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E14E" w14:textId="4EB66C1A" w:rsidR="00D573BB" w:rsidRDefault="009B7F6D">
            <w:pPr>
              <w:spacing w:after="62"/>
              <w:ind w:left="55" w:right="12"/>
            </w:pPr>
            <w:r>
              <w:rPr>
                <w:rFonts w:ascii="Arial" w:eastAsia="Arial" w:hAnsi="Arial" w:cs="Arial"/>
                <w:color w:val="0D0D0D"/>
              </w:rPr>
              <w:t>Ensure additional TAs receive correct CPD and quality assurance of delivery by Phase and English Lead</w:t>
            </w:r>
            <w:r w:rsidR="005E6DDC">
              <w:rPr>
                <w:rFonts w:ascii="Arial" w:eastAsia="Arial" w:hAnsi="Arial" w:cs="Arial"/>
                <w:color w:val="0D0D0D"/>
              </w:rPr>
              <w:t>. Phonics pre-screening of children used to monitor progress of Phase 1 and Y3 children.</w:t>
            </w:r>
          </w:p>
          <w:p w14:paraId="24E53169" w14:textId="77777777" w:rsidR="00D573BB" w:rsidRDefault="009B7F6D">
            <w:pPr>
              <w:spacing w:after="37"/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  <w:p w14:paraId="07A550A1" w14:textId="77777777" w:rsidR="00D573BB" w:rsidRDefault="009B7F6D">
            <w:pPr>
              <w:spacing w:after="42"/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  <w:p w14:paraId="6C12EEE7" w14:textId="77777777" w:rsidR="00D573BB" w:rsidRDefault="009B7F6D">
            <w:pPr>
              <w:spacing w:after="63"/>
              <w:ind w:left="55" w:right="63"/>
              <w:jc w:val="both"/>
            </w:pPr>
            <w:r>
              <w:rPr>
                <w:rFonts w:ascii="Arial" w:eastAsia="Arial" w:hAnsi="Arial" w:cs="Arial"/>
                <w:color w:val="0D0D0D"/>
              </w:rPr>
              <w:t xml:space="preserve">Allocating enough time to allow for staff professional development and mentoring in use of IT </w:t>
            </w:r>
          </w:p>
          <w:p w14:paraId="2D63F986" w14:textId="77777777" w:rsidR="00D573BB" w:rsidRDefault="009B7F6D">
            <w:pPr>
              <w:spacing w:after="37"/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  <w:p w14:paraId="6F6848D7" w14:textId="77777777" w:rsidR="00D573BB" w:rsidRDefault="009B7F6D">
            <w:pPr>
              <w:spacing w:after="42"/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  <w:p w14:paraId="0EBF6508" w14:textId="77777777" w:rsidR="00D573BB" w:rsidRDefault="009B7F6D">
            <w:pPr>
              <w:spacing w:after="42"/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  <w:p w14:paraId="5F93A05F" w14:textId="77777777" w:rsidR="00D573BB" w:rsidRDefault="009B7F6D">
            <w:pPr>
              <w:spacing w:after="37"/>
              <w:ind w:left="55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</w:p>
          <w:p w14:paraId="3D7C4CC1" w14:textId="77777777" w:rsidR="00D573BB" w:rsidRDefault="009B7F6D">
            <w:pPr>
              <w:ind w:left="55" w:right="48"/>
            </w:pPr>
            <w:r>
              <w:rPr>
                <w:rFonts w:ascii="Arial" w:eastAsia="Arial" w:hAnsi="Arial" w:cs="Arial"/>
                <w:color w:val="0D0D0D"/>
              </w:rPr>
              <w:t xml:space="preserve">Use of technology to support QFT, interventions and Catch Up programmes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65B2" w14:textId="77777777" w:rsidR="00D573BB" w:rsidRDefault="009B7F6D">
            <w:pPr>
              <w:spacing w:after="59" w:line="243" w:lineRule="auto"/>
              <w:ind w:left="55" w:right="23"/>
            </w:pPr>
            <w:r>
              <w:rPr>
                <w:rFonts w:ascii="Arial" w:eastAsia="Arial" w:hAnsi="Arial" w:cs="Arial"/>
              </w:rPr>
              <w:t>Use of leadership management time to monitor and evaluate quality and impact of group and phonics interventions/ reading.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6BDF58D8" w14:textId="77777777" w:rsidR="00D573BB" w:rsidRDefault="009B7F6D">
            <w:pPr>
              <w:spacing w:after="37"/>
              <w:ind w:left="55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726047FB" w14:textId="77777777" w:rsidR="00D573BB" w:rsidRDefault="009B7F6D">
            <w:pPr>
              <w:spacing w:after="22"/>
              <w:ind w:left="55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72B66F94" w14:textId="77777777" w:rsidR="00D573BB" w:rsidRDefault="009B7F6D">
            <w:pPr>
              <w:spacing w:after="59"/>
              <w:ind w:left="55" w:right="7"/>
            </w:pPr>
            <w:r>
              <w:rPr>
                <w:rFonts w:ascii="Arial" w:eastAsia="Arial" w:hAnsi="Arial" w:cs="Arial"/>
              </w:rPr>
              <w:t xml:space="preserve">Use of directed time, leader management time, twilights and senior leaders releasing Computing Lead. Gareth </w:t>
            </w:r>
            <w:proofErr w:type="spellStart"/>
            <w:r>
              <w:rPr>
                <w:rFonts w:ascii="Arial" w:eastAsia="Arial" w:hAnsi="Arial" w:cs="Arial"/>
              </w:rPr>
              <w:t>Medd</w:t>
            </w:r>
            <w:proofErr w:type="spellEnd"/>
            <w:r>
              <w:rPr>
                <w:rFonts w:ascii="Arial" w:eastAsia="Arial" w:hAnsi="Arial" w:cs="Arial"/>
              </w:rPr>
              <w:t xml:space="preserve"> to support MF in developing Computing and IT across the curriculum within the Digital Strategy.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5BE3634C" w14:textId="77777777" w:rsidR="00D573BB" w:rsidRDefault="009B7F6D">
            <w:pPr>
              <w:spacing w:after="22"/>
              <w:ind w:left="55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3D652F0E" w14:textId="77777777" w:rsidR="00D573BB" w:rsidRDefault="009B7F6D">
            <w:pPr>
              <w:spacing w:after="59" w:line="239" w:lineRule="auto"/>
              <w:ind w:left="55"/>
            </w:pPr>
            <w:r>
              <w:rPr>
                <w:rFonts w:ascii="Arial" w:eastAsia="Arial" w:hAnsi="Arial" w:cs="Arial"/>
              </w:rPr>
              <w:t xml:space="preserve">Following CPD, class teachers to utilise </w:t>
            </w:r>
            <w:proofErr w:type="spellStart"/>
            <w:r>
              <w:rPr>
                <w:rFonts w:ascii="Arial" w:eastAsia="Arial" w:hAnsi="Arial" w:cs="Arial"/>
              </w:rPr>
              <w:t>technologgy</w:t>
            </w:r>
            <w:proofErr w:type="spellEnd"/>
            <w:r>
              <w:rPr>
                <w:rFonts w:ascii="Arial" w:eastAsia="Arial" w:hAnsi="Arial" w:cs="Arial"/>
              </w:rPr>
              <w:t xml:space="preserve"> across the school day to support QFT and ‘catch up’. Identification of online interventions for target children to access for catch up.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6DCAFAC2" w14:textId="77777777" w:rsidR="00D573BB" w:rsidRDefault="009B7F6D">
            <w:pPr>
              <w:spacing w:after="37"/>
              <w:ind w:left="55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1F02DA0B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</w:tbl>
    <w:p w14:paraId="2AB4B2E4" w14:textId="77777777" w:rsidR="00D573BB" w:rsidRDefault="009B7F6D">
      <w:pPr>
        <w:spacing w:after="253"/>
        <w:ind w:left="10" w:right="5554" w:hanging="10"/>
        <w:jc w:val="right"/>
      </w:pPr>
      <w:r>
        <w:rPr>
          <w:rFonts w:ascii="Arial" w:eastAsia="Arial" w:hAnsi="Arial" w:cs="Arial"/>
          <w:color w:val="0D0D0D"/>
          <w:sz w:val="24"/>
        </w:rPr>
        <w:t xml:space="preserve">2 </w:t>
      </w:r>
    </w:p>
    <w:tbl>
      <w:tblPr>
        <w:tblStyle w:val="TableGrid"/>
        <w:tblW w:w="9499" w:type="dxa"/>
        <w:tblInd w:w="5" w:type="dxa"/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687"/>
        <w:gridCol w:w="3832"/>
      </w:tblGrid>
      <w:tr w:rsidR="00D573BB" w14:paraId="063829F5" w14:textId="77777777">
        <w:trPr>
          <w:trHeight w:val="89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9018" w14:textId="77777777" w:rsidR="00D573BB" w:rsidRDefault="009B7F6D">
            <w:r>
              <w:rPr>
                <w:rFonts w:ascii="Arial" w:eastAsia="Arial" w:hAnsi="Arial" w:cs="Arial"/>
                <w:color w:val="0D0D0D"/>
              </w:rPr>
              <w:t xml:space="preserve">Targeted support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DC8F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 xml:space="preserve">Ensuring enough time for IT Lead and Gareth </w:t>
            </w:r>
            <w:proofErr w:type="spellStart"/>
            <w:r>
              <w:rPr>
                <w:rFonts w:ascii="Arial" w:eastAsia="Arial" w:hAnsi="Arial" w:cs="Arial"/>
              </w:rPr>
              <w:t>Medd</w:t>
            </w:r>
            <w:proofErr w:type="spellEnd"/>
            <w:r>
              <w:rPr>
                <w:rFonts w:ascii="Arial" w:eastAsia="Arial" w:hAnsi="Arial" w:cs="Arial"/>
              </w:rPr>
              <w:t xml:space="preserve"> to support and mentor colleagues.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CE5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>Senior leaders/ additional PPA teacher to release IT lead as needed.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D573BB" w14:paraId="730628C2" w14:textId="77777777">
        <w:trPr>
          <w:trHeight w:val="19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4A89" w14:textId="77777777" w:rsidR="00D573BB" w:rsidRDefault="009B7F6D">
            <w:r>
              <w:rPr>
                <w:rFonts w:ascii="Arial" w:eastAsia="Arial" w:hAnsi="Arial" w:cs="Arial"/>
                <w:color w:val="0D0D0D"/>
              </w:rPr>
              <w:t xml:space="preserve">Wider strategies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3BE4" w14:textId="77777777" w:rsidR="00D573BB" w:rsidRDefault="009B7F6D">
            <w:pPr>
              <w:ind w:left="55" w:right="23"/>
            </w:pPr>
            <w:r>
              <w:rPr>
                <w:rFonts w:ascii="Arial" w:eastAsia="Arial" w:hAnsi="Arial" w:cs="Arial"/>
              </w:rPr>
              <w:t xml:space="preserve">Ensuring those families that do not have access to devices at home during bubble closures are provided with </w:t>
            </w:r>
            <w:proofErr w:type="spellStart"/>
            <w:r>
              <w:rPr>
                <w:rFonts w:ascii="Arial" w:eastAsia="Arial" w:hAnsi="Arial" w:cs="Arial"/>
              </w:rPr>
              <w:t>IPads</w:t>
            </w:r>
            <w:proofErr w:type="spellEnd"/>
            <w:r>
              <w:rPr>
                <w:rFonts w:ascii="Arial" w:eastAsia="Arial" w:hAnsi="Arial" w:cs="Arial"/>
              </w:rPr>
              <w:t>. Ensure children are taught the computing skills to use electronic devices at home to access remote learning.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6AA" w14:textId="77777777" w:rsidR="00D573BB" w:rsidRDefault="009B7F6D">
            <w:pPr>
              <w:spacing w:line="242" w:lineRule="auto"/>
              <w:ind w:left="55"/>
            </w:pPr>
            <w:r>
              <w:rPr>
                <w:rFonts w:ascii="Arial" w:eastAsia="Arial" w:hAnsi="Arial" w:cs="Arial"/>
              </w:rPr>
              <w:t xml:space="preserve">Leaders to have an updated overview of families who need </w:t>
            </w:r>
          </w:p>
          <w:p w14:paraId="7361339E" w14:textId="77777777" w:rsidR="00D573BB" w:rsidRDefault="009B7F6D">
            <w:pPr>
              <w:ind w:left="55"/>
            </w:pPr>
            <w:r>
              <w:rPr>
                <w:rFonts w:ascii="Arial" w:eastAsia="Arial" w:hAnsi="Arial" w:cs="Arial"/>
              </w:rPr>
              <w:t xml:space="preserve">devices in the event of lockdown...school to hold 10 </w:t>
            </w:r>
            <w:proofErr w:type="spellStart"/>
            <w:r>
              <w:rPr>
                <w:rFonts w:ascii="Arial" w:eastAsia="Arial" w:hAnsi="Arial" w:cs="Arial"/>
              </w:rPr>
              <w:t>IPads</w:t>
            </w:r>
            <w:proofErr w:type="spellEnd"/>
            <w:r>
              <w:rPr>
                <w:rFonts w:ascii="Arial" w:eastAsia="Arial" w:hAnsi="Arial" w:cs="Arial"/>
              </w:rPr>
              <w:t xml:space="preserve"> in reserve plus 5 from DfE.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</w:tbl>
    <w:p w14:paraId="4E569E20" w14:textId="77777777" w:rsidR="00D573BB" w:rsidRDefault="009B7F6D">
      <w:pPr>
        <w:spacing w:after="11600"/>
      </w:pPr>
      <w:r>
        <w:rPr>
          <w:rFonts w:ascii="Arial" w:eastAsia="Arial" w:hAnsi="Arial" w:cs="Arial"/>
          <w:color w:val="104F75"/>
        </w:rPr>
        <w:t xml:space="preserve"> </w:t>
      </w:r>
    </w:p>
    <w:p w14:paraId="6BFD1102" w14:textId="77777777" w:rsidR="00D573BB" w:rsidRDefault="009B7F6D">
      <w:pPr>
        <w:spacing w:after="253"/>
        <w:ind w:left="10" w:right="5554" w:hanging="10"/>
        <w:jc w:val="right"/>
      </w:pPr>
      <w:r>
        <w:rPr>
          <w:rFonts w:ascii="Arial" w:eastAsia="Arial" w:hAnsi="Arial" w:cs="Arial"/>
          <w:color w:val="0D0D0D"/>
          <w:sz w:val="24"/>
        </w:rPr>
        <w:lastRenderedPageBreak/>
        <w:t xml:space="preserve">3 </w:t>
      </w:r>
    </w:p>
    <w:sectPr w:rsidR="00D573BB">
      <w:pgSz w:w="11905" w:h="16840"/>
      <w:pgMar w:top="720" w:right="965" w:bottom="705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AD4"/>
    <w:multiLevelType w:val="hybridMultilevel"/>
    <w:tmpl w:val="E0908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BB"/>
    <w:rsid w:val="005A0F5A"/>
    <w:rsid w:val="005E6DDC"/>
    <w:rsid w:val="009B7F6D"/>
    <w:rsid w:val="00AE2141"/>
    <w:rsid w:val="00D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CD28"/>
  <w15:docId w15:val="{A32C0D60-9173-4326-8E91-E6CBA8D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9F5215368143A8D59FAC871FFF7E" ma:contentTypeVersion="10" ma:contentTypeDescription="Create a new document." ma:contentTypeScope="" ma:versionID="b1b4b882ff7d0ea972b3fad6dcc938ff">
  <xsd:schema xmlns:xsd="http://www.w3.org/2001/XMLSchema" xmlns:xs="http://www.w3.org/2001/XMLSchema" xmlns:p="http://schemas.microsoft.com/office/2006/metadata/properties" xmlns:ns3="f32a06ee-0fc2-4c5d-ad22-3a12dc74d76e" targetNamespace="http://schemas.microsoft.com/office/2006/metadata/properties" ma:root="true" ma:fieldsID="93dd97b60015c3c2bf06d8eed3645c07" ns3:_="">
    <xsd:import namespace="f32a06ee-0fc2-4c5d-ad22-3a12dc74d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a06ee-0fc2-4c5d-ad22-3a12dc74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9F941-AC7F-4143-AC18-7A42DC46803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f32a06ee-0fc2-4c5d-ad22-3a12dc74d76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1A439B-77FD-42FC-9272-794590762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012E2-DF5C-41B5-B9C6-281397890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a06ee-0fc2-4c5d-ad22-3a12dc74d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cp:keywords/>
  <cp:lastModifiedBy>Linda Hanson</cp:lastModifiedBy>
  <cp:revision>2</cp:revision>
  <cp:lastPrinted>2021-05-10T11:15:00Z</cp:lastPrinted>
  <dcterms:created xsi:type="dcterms:W3CDTF">2021-05-10T14:40:00Z</dcterms:created>
  <dcterms:modified xsi:type="dcterms:W3CDTF">2021-05-10T14:40:00Z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0x0101000DAC9F5215368143A8D59FAC871FFF7E</vt:lpwstr>
  </property>
</Properties>
</file>